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9.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19</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t xml:space="preserve">An estimated 200 million juvenile salmonids emigrate through the lower Snake and Columbia rivers, annually. Of those, approximately 16.4 million (8%) are consumed by northern pikeminnow [Beamesderfer1996].</w:t>
      </w:r>
      <w:r>
        <w:t xml:space="preserve"> </w:t>
      </w:r>
      <w:r>
        <w:t xml:space="preserve">Petersen (1994)</w:t>
      </w:r>
      <w:r>
        <w:t xml:space="preserve"> </w:t>
      </w:r>
      <w:r>
        <w:t xml:space="preserve">estimated that the annual loss of juvenile salmonids to northern pikeminnow to be 7.3% of all juvenile salmonids entering the John Day Reservoir. Additionally, 78% of these salmonids consumed near a dam were consumed when alive</w:t>
      </w:r>
      <w:r>
        <w:t xml:space="preserve"> </w:t>
      </w:r>
      <w:r>
        <w:t xml:space="preserve">(Petersen 1994)</w:t>
      </w:r>
      <w:r>
        <w:t xml:space="preserve">. Dams are known to be areas of predation, but</w:t>
      </w:r>
      <w:r>
        <w:t xml:space="preserve"> </w:t>
      </w:r>
      <w:r>
        <w:t xml:space="preserve">Ward et al. (1995)</w:t>
      </w:r>
      <w:r>
        <w:t xml:space="preserve"> </w:t>
      </w:r>
      <w:r>
        <w:t xml:space="preserve">estimated that 48% of predation is occurring away from dams in mid-reservoir areas. Most of the research has been targeted around dams and reservoirs, but there are areas functioning similar to a reservoir in the rivers upstream. One of these areas is the Deadwater Slough in the Salmon River. The Deadwater Slough is a 25.3-acre area that is unnaturally slow and deep within the Salmon River and resembles a small reservoir (Figure</w:t>
      </w:r>
      <w:r>
        <w:t xml:space="preserve"> </w:t>
      </w:r>
      <w:r>
        <w:t xml:space="preserve">3</w:t>
      </w:r>
      <w:r>
        <w:t xml:space="preserve">). This unnatural area has little to no cover, higher depth, and fine substrate which favor piscivorous fish predators (e.g., northern pikeminnow</w:t>
      </w:r>
      <w:r>
        <w:t xml:space="preserve"> </w:t>
      </w:r>
      <w:r>
        <w:rPr>
          <w:iCs/>
          <w:i/>
        </w:rPr>
        <w:t xml:space="preserve">Ptychocheilus oregonensis</w:t>
      </w:r>
      <w:r>
        <w:t xml:space="preserve">, smallmouth bass</w:t>
      </w:r>
      <w:r>
        <w:t xml:space="preserve"> </w:t>
      </w:r>
      <w:r>
        <w:rPr>
          <w:iCs/>
          <w:i/>
        </w:rPr>
        <w:t xml:space="preserve">Micropterus dolomieu</w:t>
      </w:r>
      <w:r>
        <w:t xml:space="preserve">)</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3"/>
        </w:numPr>
        <w:pStyle w:val="Compact"/>
      </w:pPr>
      <w:r>
        <w:t xml:space="preserve">Estimate the abundance (or relative abundance) of potential predators in the Deadwater Slough during the peaks of fall (DSR) and spring (NRR) juvenile emigrations.</w:t>
      </w:r>
    </w:p>
    <w:p>
      <w:pPr>
        <w:numPr>
          <w:ilvl w:val="0"/>
          <w:numId w:val="1003"/>
        </w:numPr>
        <w:pStyle w:val="Compact"/>
      </w:pPr>
      <w:r>
        <w:t xml:space="preserve">Document predation on juvenile Chinook Salmon during the emigration periods using gastric lavage.</w:t>
      </w:r>
    </w:p>
    <w:p>
      <w:pPr>
        <w:numPr>
          <w:ilvl w:val="0"/>
          <w:numId w:val="1003"/>
        </w:numPr>
        <w:pStyle w:val="Compact"/>
      </w:pPr>
      <w:r>
        <w:t xml:space="preserve">Use a bioenergetics approach to estimate the total consumption of juvenile DSR and NRR Chinook salmon during defined emigration periods.</w:t>
      </w:r>
    </w:p>
    <w:p>
      <w:pPr>
        <w:numPr>
          <w:ilvl w:val="0"/>
          <w:numId w:val="1003"/>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3</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4"/>
        </w:numPr>
        <w:pStyle w:val="Compact"/>
      </w:pPr>
      <w:r>
        <w:t xml:space="preserve">Capture methods used - We initially attempted electrofishing, snorkeling, netting, others?, but eventually settled on angling as best method for mark-recapture.</w:t>
      </w:r>
    </w:p>
    <w:p>
      <w:pPr>
        <w:numPr>
          <w:ilvl w:val="0"/>
          <w:numId w:val="1004"/>
        </w:numPr>
        <w:pStyle w:val="Compact"/>
      </w:pPr>
      <w:r>
        <w:t xml:space="preserve">Mark-recapture - We kept the mark and recapture events close together in an attempt to use a closed population model</w:t>
      </w:r>
    </w:p>
    <w:p>
      <w:pPr>
        <w:numPr>
          <w:ilvl w:val="0"/>
          <w:numId w:val="1004"/>
        </w:numPr>
        <w:pStyle w:val="Compact"/>
      </w:pPr>
      <w:r>
        <w:t xml:space="preserve">What are the assumptions of a closed population model?</w:t>
      </w:r>
    </w:p>
    <w:p>
      <w:pPr>
        <w:numPr>
          <w:ilvl w:val="0"/>
          <w:numId w:val="1004"/>
        </w:numPr>
        <w:pStyle w:val="Compact"/>
      </w:pPr>
      <w:r>
        <w:t xml:space="preserve">How was sampling performed? What relevant information was captured for each fish? How/where were fish released? How was effort recorded to calculate CPUE?</w:t>
      </w:r>
    </w:p>
    <w:p>
      <w:pPr>
        <w:numPr>
          <w:ilvl w:val="0"/>
          <w:numId w:val="1004"/>
        </w:numPr>
        <w:pStyle w:val="Compact"/>
      </w:pPr>
      <w:r>
        <w:t xml:space="preserve">Description of sampling time frame:</w:t>
      </w:r>
    </w:p>
    <w:p>
      <w:pPr>
        <w:numPr>
          <w:ilvl w:val="1"/>
          <w:numId w:val="1005"/>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5"/>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5"/>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We additionally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We were interested in documenting potential consumption of juvenile Chinook Salmon by northern pikeminnow, and ideally, estimate the proportion of their diet consisting of juvenile Chinook Salmon at the time of sampling. To accomplish this, we collected stomach contents using gastric lavage as described in</w:t>
      </w:r>
      <w:r>
        <w:t xml:space="preserve"> </w:t>
      </w:r>
      <w:r>
        <w:t xml:space="preserve">Foster (1977)</w:t>
      </w:r>
      <w:r>
        <w:t xml:space="preserve"> </w:t>
      </w:r>
      <w:r>
        <w:t xml:space="preserve">and examined contents for the presence or absence of juvenile Chinook Salmon or other incidentals (e.g., steelhead, Sockeye Salmon, Redside Shiner, etc.), and the proportion of any stomach contents containing fish or fish parts versus non-targets (e.g., macroinvertebrates, organic matter, etc.). Stomach contents were stored in whirl-paks, preserved with 99% isopropyl alcohol, and analyzed within the following week in a controlled environment. Each sample was uniquely identified to match up with the appropriate fish record, contents were identified down to their unique composition, total weight of all content was measured as wet weight in grams, and total weight of fish content, if found, was measured in grams. Fish and fish parts were identified down to species, if possible, or categorized as unknown if unidentifiable. Throughout the sampling periods a subset of the capture individuals were sacrificed after gastric lavage to validate whether gastric lavage was successful at flushing stomach contents from the northern pikeminnow.</w:t>
      </w:r>
    </w:p>
    <w:bookmarkEnd w:id="24"/>
    <w:bookmarkStart w:id="25" w:name="bioenergetics"/>
    <w:p>
      <w:pPr>
        <w:pStyle w:val="Heading2"/>
      </w:pPr>
      <w:r>
        <w:t xml:space="preserve">Bioenergetics</w:t>
      </w:r>
    </w:p>
    <w:p>
      <w:pPr>
        <w:pStyle w:val="FirstParagraph"/>
      </w:pPr>
      <w:r>
        <w:t xml:space="preserve">To estimate the impacts from northern pikeminnow on juvenile Chinook Salmon outmigrants in Deadwater Slough, we used an R-based application of Fish Bioenergetics v4.0 developed by</w:t>
      </w:r>
      <w:r>
        <w:t xml:space="preserve"> </w:t>
      </w:r>
      <w:r>
        <w:t xml:space="preserve">Deslauriers et al. (2017)</w:t>
      </w:r>
      <w:r>
        <w:t xml:space="preserve">. We estimated a daily rate of consumption for an individual northern pikeminnow based on predator and prey energy densities, water temperatures, and predator start and end weights. We also ran two alternative models one with a year of temperature inputs from 2019, and another with the same temperature inputs but a 10% growth in weight of the average pikeminnow at the end of the model. The average length of northern pikeminnow captured at the Deadwater Slough during our study was 370.6 mm which calculates to an average starting weight of 847 g using the FSA package (</w:t>
      </w:r>
      <w:r>
        <w:t xml:space="preserve">Ogle et al. (2021)</w:t>
      </w:r>
      <w:r>
        <w:t xml:space="preserve">) in R which provides a weight-length formula for northern pikeminnow sourced from</w:t>
      </w:r>
      <w:r>
        <w:t xml:space="preserve"> </w:t>
      </w:r>
      <w:r>
        <w:t xml:space="preserve">Parker et al. (1995)</w:t>
      </w:r>
      <w:r>
        <w:t xml:space="preserve">. Predator energy density for northern pikeminnow was available in the Bioenergetics v4.0 application and was fixed at 6,703 Joules(J)/g. Prey energy densities was taken from</w:t>
      </w:r>
      <w:r>
        <w:t xml:space="preserve"> </w:t>
      </w:r>
      <w:r>
        <w:t xml:space="preserve">Moss et al. (2016)</w:t>
      </w:r>
      <w:r>
        <w:t xml:space="preserve"> </w:t>
      </w:r>
      <w:r>
        <w:t xml:space="preserve">where they estimated juvenile Chinook Salmon at 21,500 J/g. Using these temperatures, weights, and energy inputs, we estimated a total consumption in grams for an individual norther pikeminnow within Deadwater Slough.</w:t>
      </w:r>
    </w:p>
    <w:p>
      <w:pPr>
        <w:pStyle w:val="BodyText"/>
      </w:pPr>
      <w:r>
        <w:t xml:space="preserve">We ran three bioenergetic models for this study. First, we chose a 78-day period from September 1 through November 17 where we know Chinook Salmon DSR emigrants begin to enter the mainstem Salmon River from natal tributaries (e.g., Lemhi River) and begin to migrate downstream, but when temperatures are still high enough that juveniles are not yet exhibiting concealment behavior or torpor. The second model was still assuming no growth but taking the entire year into account for the model rather than the 78-day fall period. The assumption of no growth for pikeminnow was included to show what may be occurring if the population of northern pikeminnow is stable. If growther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4" w:name="results"/>
    <w:p>
      <w:pPr>
        <w:pStyle w:val="Heading1"/>
      </w:pPr>
      <w:r>
        <w:t xml:space="preserve">Results</w:t>
      </w:r>
    </w:p>
    <w:bookmarkStart w:id="30" w:name="abundance-of-piscivorous-fishes-1"/>
    <w:p>
      <w:pPr>
        <w:pStyle w:val="Heading2"/>
      </w:pPr>
      <w:r>
        <w:t xml:space="preserve">Abundance of Piscivorous Fishes</w:t>
      </w:r>
    </w:p>
    <w:p>
      <w:pPr>
        <w:pStyle w:val="CaptionedFigure"/>
      </w:pPr>
      <w:r>
        <w:drawing>
          <wp:inline>
            <wp:extent cx="5504749" cy="3669832"/>
            <wp:effectExtent b="0" l="0" r="0" t="0"/>
            <wp:docPr descr="Figure 1: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2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 Estimates of abundance of northern pikeminnow using different estimators.</w:t>
      </w:r>
    </w:p>
    <w:p>
      <w:pPr>
        <w:pStyle w:val="CaptionedFigure"/>
      </w:pPr>
      <w:r>
        <w:drawing>
          <wp:inline>
            <wp:extent cx="5504749" cy="3669832"/>
            <wp:effectExtent b="0" l="0" r="0" t="0"/>
            <wp:docPr descr="Figure 2: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2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Total catch per unit effort across entire sampling event.</w:t>
      </w:r>
    </w:p>
    <w:p>
      <w:pPr>
        <w:pStyle w:val="BodyText"/>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30"/>
    <w:bookmarkStart w:id="31" w:name="predation-on-juvenile-chinook-salmon-1"/>
    <w:p>
      <w:pPr>
        <w:pStyle w:val="Heading2"/>
      </w:pPr>
      <w:r>
        <w:t xml:space="preserve">Predation On Juvenile Chinook Salmon</w:t>
      </w:r>
    </w:p>
    <w:p>
      <w:pPr>
        <w:pStyle w:val="FirstParagraph"/>
      </w:pPr>
      <w:r>
        <w:t xml:space="preserve">During 2019, 660 northern pikeminnow were gastric lavaged. Of those fish, 603 had empty stomachs, 57 had stomach contents, 12 had fish parts, and of those 12 with fish parts 1 MWF and 2 shiners. During the 2020 season 805 northern pikeminnow were gastric lavaged with 613 empty stomachs, 188 with stomach contents and 23 with fish parts. Out of the 23 stomachs with fish parts present 10 were unknown, 6 red sided shiner, 4 suckers, 2 sculpin, and 1 chinook. In 2021, we had 105 stomach samples with 98 being non-fish and 7 having fish or fish parts.</w:t>
      </w:r>
    </w:p>
    <w:bookmarkEnd w:id="31"/>
    <w:bookmarkStart w:id="32" w:name="bioenergetics-1"/>
    <w:p>
      <w:pPr>
        <w:pStyle w:val="Heading2"/>
      </w:pPr>
      <w:r>
        <w:t xml:space="preserve">Bioenergetics</w:t>
      </w:r>
    </w:p>
    <w:p>
      <w:pPr>
        <w:pStyle w:val="FirstParagraph"/>
      </w:pPr>
      <w:r>
        <w:t xml:space="preserve">Over the fall time period a single northern pikeminnow is modeled to eat 61 g of fish. If we extrapolate this out to the potential effect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having the potential to consume *</w:t>
      </w:r>
      <w:r>
        <w:rPr>
          <w:bCs/>
          <w:b/>
        </w:rPr>
        <w:t xml:space="preserve">xxx</w:t>
      </w:r>
      <w:r>
        <w:t xml:space="preserve"> </w:t>
      </w:r>
      <w:r>
        <w:t xml:space="preserve">juvenile Chinook as a discrete population.</w:t>
      </w:r>
    </w:p>
    <w:p>
      <w:pPr>
        <w:pStyle w:val="BodyText"/>
      </w:pPr>
      <w:r>
        <w:t xml:space="preserve">Over the point of a whole year, a single northern pikeminnow is modeled to eat 283 g of fish and 613 g of other food types.</w:t>
      </w:r>
    </w:p>
    <w:bookmarkEnd w:id="32"/>
    <w:bookmarkStart w:id="33" w:name="impacts-to-adult-returns-1"/>
    <w:p>
      <w:pPr>
        <w:pStyle w:val="Heading2"/>
      </w:pPr>
      <w:r>
        <w:t xml:space="preserve">Impacts to Adult Returns</w:t>
      </w:r>
    </w:p>
    <w:p>
      <w:pPr>
        <w:numPr>
          <w:ilvl w:val="0"/>
          <w:numId w:val="1006"/>
        </w:numPr>
        <w:pStyle w:val="Compact"/>
      </w:pPr>
      <w:r>
        <w:t xml:space="preserve">SAR results. Maybe a plot of multiple scenarios depending on gastric lavage results? And pop estimates if they vary in time.</w:t>
      </w:r>
    </w:p>
    <w:bookmarkEnd w:id="33"/>
    <w:bookmarkEnd w:id="34"/>
    <w:bookmarkStart w:id="44"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5" w:name="mark-recapture-model"/>
    <w:p>
      <w:pPr>
        <w:pStyle w:val="Heading2"/>
      </w:pPr>
      <w:r>
        <w:t xml:space="preserve">Mark-Recapture Model</w:t>
      </w:r>
    </w:p>
    <w:bookmarkEnd w:id="35"/>
    <w:bookmarkStart w:id="36" w:name="gastric-lavage"/>
    <w:p>
      <w:pPr>
        <w:pStyle w:val="Heading2"/>
      </w:pPr>
      <w:r>
        <w:t xml:space="preserve">Gastric Lavage</w:t>
      </w:r>
    </w:p>
    <w:p>
      <w:pPr>
        <w:pStyle w:val="FirstParagraph"/>
      </w:pPr>
      <w:r>
        <w:t xml:space="preserve">We were able to gastric lavage the majority of fish collected including some non-predatory species. We euthanized nine northern pikeminnow for dissection to confirm that the gastric lavage was effective in removing stomach contents. Our results support the findings the previous year that dissected individuals that the dissected gastric lavage was effective in removing stomach contents (</w:t>
      </w:r>
      <w:r>
        <w:t xml:space="preserve">Lott et al. (2020)</w:t>
      </w:r>
      <w:r>
        <w:t xml:space="preserve">). Additionally , we found that the fish captured in trap-nets had a similar proportion of stomach content samples. Of those, 1,214 (76.2%) were completely empty, 345 (21.6%) had stomach contents, and 35 (2.2%) contained fish parts. We were able to identify juvenile shiners, a largescale sucker, sculpin, mountain whitefish, and one Chinook Salmon within stomach contents, but most samples were too digested to identify to species.</w:t>
      </w:r>
    </w:p>
    <w:bookmarkEnd w:id="36"/>
    <w:bookmarkStart w:id="37"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7"/>
    <w:bookmarkStart w:id="38"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8"/>
    <w:bookmarkStart w:id="41"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riparian and backwater habitats created by the feature</w:t>
      </w:r>
      <w:r>
        <w:t xml:space="preserve"> </w:t>
      </w:r>
      <w:hyperlink r:id="rId39">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40">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41"/>
    <w:bookmarkStart w:id="42"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to upriver populations. Presumably, that reduction in adult returns impacts both the ESA-listed natural populations in the Upper Salmon River MPG plus the two hatchery populations in the Upper Salmon, Pahsimeroi and Sawtooth hatcheries, which provide for recreational fishing opportunities. Fisheries managers desire increased adult returns to both aide in the recovery of natural populations as well as to provide additional harvest in recreational fisheries to boost local economies. A reduction in predation mortality at Deadwater Slough on juvenile Chinook Salmon has potential to benefit multiple upriver natural and hatchery populations, in contrast to typical tributary habitat rehabilition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Is there anything in the literature that discusses habitat preferences for pike minnow? If we speed up velocities and add some cover potentially pike minnow predation success will be lowered. Will these fish just move elsewhere?</w:t>
      </w:r>
    </w:p>
    <w:bookmarkEnd w:id="42"/>
    <w:bookmarkStart w:id="43" w:name="conclusions"/>
    <w:p>
      <w:pPr>
        <w:pStyle w:val="Heading2"/>
      </w:pPr>
      <w:r>
        <w:t xml:space="preserve">Conclusions</w:t>
      </w:r>
    </w:p>
    <w:p>
      <w:pPr>
        <w:numPr>
          <w:ilvl w:val="0"/>
          <w:numId w:val="1007"/>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7"/>
        </w:numPr>
        <w:pStyle w:val="Compact"/>
      </w:pPr>
      <w:r>
        <w:t xml:space="preserve">The end.</w:t>
      </w:r>
    </w:p>
    <w:bookmarkEnd w:id="43"/>
    <w:bookmarkEnd w:id="44"/>
    <w:bookmarkStart w:id="45"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5"/>
    <w:bookmarkStart w:id="66" w:name="literature-cited"/>
    <w:p>
      <w:pPr>
        <w:pStyle w:val="Heading1"/>
      </w:pPr>
      <w:r>
        <w:t xml:space="preserve">Literature Cited</w:t>
      </w:r>
    </w:p>
    <w:bookmarkStart w:id="65" w:name="refs"/>
    <w:bookmarkStart w:id="46"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6"/>
    <w:bookmarkStart w:id="47"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7"/>
    <w:bookmarkStart w:id="48"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9"/>
    <w:bookmarkStart w:id="50"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4"/>
    <w:bookmarkStart w:id="55"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5"/>
    <w:bookmarkStart w:id="5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6"/>
    <w:bookmarkStart w:id="57" w:name="ref-Moss2016"/>
    <w:p>
      <w:pPr>
        <w:pStyle w:val="Bibliography"/>
      </w:pPr>
      <w:r>
        <w:t xml:space="preserve">Moss, J. H., J. M. Murphy, E. A. Fergusson, and R. A. Heintz. 2016. Allometric</w:t>
      </w:r>
      <w:r>
        <w:t xml:space="preserve"> </w:t>
      </w:r>
      <w:r>
        <w:t xml:space="preserve">Relationships</w:t>
      </w:r>
      <w:r>
        <w:t xml:space="preserve"> </w:t>
      </w:r>
      <w:r>
        <w:t xml:space="preserve">between</w:t>
      </w:r>
      <w:r>
        <w:t xml:space="preserve"> </w:t>
      </w:r>
      <w:r>
        <w:t xml:space="preserve">Body Size</w:t>
      </w:r>
      <w:r>
        <w:t xml:space="preserve"> </w:t>
      </w:r>
      <w:r>
        <w:t xml:space="preserve">and</w:t>
      </w:r>
      <w:r>
        <w:t xml:space="preserve"> </w:t>
      </w:r>
      <w:r>
        <w:t xml:space="preserve">Energy Density</w:t>
      </w:r>
      <w:r>
        <w:t xml:space="preserve"> </w:t>
      </w:r>
      <w:r>
        <w:t xml:space="preserve">of</w:t>
      </w:r>
      <w:r>
        <w:t xml:space="preserve"> </w:t>
      </w:r>
      <w:r>
        <w:t xml:space="preserve">Juvenile 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w:t>
      </w:r>
      <w:r>
        <w:t xml:space="preserve"> </w:t>
      </w:r>
      <w:r>
        <w:t xml:space="preserve">Chum</w:t>
      </w:r>
      <w:r>
        <w:t xml:space="preserve"> </w:t>
      </w:r>
      <w:r>
        <w:t xml:space="preserve">(</w:t>
      </w:r>
      <w:r>
        <w:t xml:space="preserve"> </w:t>
      </w:r>
      <w:r>
        <w:t xml:space="preserve"> </w:t>
      </w:r>
      <w:r>
        <w:rPr>
          <w:iCs/>
          <w:i/>
        </w:rPr>
        <w:t xml:space="preserve">O</w:t>
      </w:r>
      <w:r>
        <w:rPr>
          <w:iCs/>
          <w:i/>
        </w:rPr>
        <w:t xml:space="preserve">. Keta</w:t>
      </w:r>
      <w:r>
        <w:t xml:space="preserve"> </w:t>
      </w:r>
      <w:r>
        <w:t xml:space="preserve">)</w:t>
      </w:r>
      <w:r>
        <w:t xml:space="preserve"> </w:t>
      </w:r>
      <w:r>
        <w:t xml:space="preserve">Salmon</w:t>
      </w:r>
      <w:r>
        <w:t xml:space="preserve"> </w:t>
      </w:r>
      <w:r>
        <w:t xml:space="preserve">across a</w:t>
      </w:r>
      <w:r>
        <w:t xml:space="preserve"> </w:t>
      </w:r>
      <w:r>
        <w:t xml:space="preserve">Latitudinal Gradient</w:t>
      </w:r>
      <w:r>
        <w:t xml:space="preserve">. North Pacific Anadromous Fish Commission Bulletin No. 6:161–168.</w:t>
      </w:r>
    </w:p>
    <w:bookmarkEnd w:id="57"/>
    <w:bookmarkStart w:id="58"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8"/>
    <w:bookmarkStart w:id="59"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59"/>
    <w:bookmarkStart w:id="60"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0"/>
    <w:bookmarkStart w:id="61"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1"/>
    <w:bookmarkStart w:id="62"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2"/>
    <w:bookmarkStart w:id="63"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3"/>
    <w:bookmarkStart w:id="64"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4"/>
    <w:bookmarkEnd w:id="65"/>
    <w:p>
      <w:r>
        <w:br w:type="page"/>
      </w:r>
    </w:p>
    <w:bookmarkEnd w:id="66"/>
    <w:bookmarkStart w:id="68" w:name="tables"/>
    <w:p>
      <w:pPr>
        <w:pStyle w:val="Heading1"/>
      </w:pPr>
      <w:r>
        <w:t xml:space="preserve">Tables</w:t>
      </w:r>
    </w:p>
    <w:bookmarkStart w:id="67" w:name="tables"/>
    <w:bookmarkEnd w:id="67"/>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68"/>
    <w:bookmarkStart w:id="72" w:name="figures"/>
    <w:p>
      <w:pPr>
        <w:pStyle w:val="Heading1"/>
      </w:pPr>
      <w:r>
        <w:t xml:space="preserve">Figures</w:t>
      </w:r>
    </w:p>
    <w:bookmarkStart w:id="69" w:name="figures"/>
    <w:bookmarkEnd w:id="69"/>
    <w:p>
      <w:pPr>
        <w:pStyle w:val="CaptionedFigure"/>
      </w:pPr>
      <w:r>
        <w:drawing>
          <wp:inline>
            <wp:extent cx="5581592" cy="2725809"/>
            <wp:effectExtent b="0" l="0" r="0" t="0"/>
            <wp:docPr descr="Figure 3: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3: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bookmarkStart w:id="71" w:name="colophon"/>
    <w:p>
      <w:pPr>
        <w:pStyle w:val="Heading3"/>
      </w:pPr>
      <w:r>
        <w:t xml:space="preserve">Colophon</w:t>
      </w:r>
    </w:p>
    <w:p>
      <w:pPr>
        <w:pStyle w:val="FirstParagraph"/>
      </w:pPr>
      <w:r>
        <w:t xml:space="preserve">This report was generated on 2021-11-19 10:39:17 using the following computational environment and dependencies:</w:t>
      </w:r>
    </w:p>
    <w:p>
      <w:pPr>
        <w:pStyle w:val="SourceCode"/>
      </w:pPr>
      <w:r>
        <w:rPr>
          <w:rStyle w:val="VerbatimChar"/>
        </w:rPr>
        <w:t xml:space="preserve">#&gt; - Session info  --------------------------------------------------------------</w:t>
      </w:r>
      <w:r>
        <w:br/>
      </w:r>
      <w:r>
        <w:rPr>
          <w:rStyle w:val="VerbatimChar"/>
        </w:rPr>
        <w:t xml:space="preserve">#&gt;  hash: person gesturing OK: light skin tone, scroll, flag: St. Lucia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2021-11-19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[78fea12] 2021-11-19: added citations and re-knit .docx</w:t>
      </w:r>
    </w:p>
    <w:bookmarkEnd w:id="71"/>
    <w:bookmarkEnd w:id="7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hyperlink" Id="rId39" Target="https://www.audubon.org/important-bird-areas/deadwater-slough#" TargetMode="External" /><Relationship Type="http://schemas.openxmlformats.org/officeDocument/2006/relationships/hyperlink" Id="rId40"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9" Target="https://www.audubon.org/important-bird-areas/deadwater-slough#" TargetMode="External" /><Relationship Type="http://schemas.openxmlformats.org/officeDocument/2006/relationships/hyperlink" Id="rId40"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2021-11-19T17:39:19Z</dcterms:created>
  <dcterms:modified xsi:type="dcterms:W3CDTF">2021-11-19T17:39:19Z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19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